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both"/>
        <w:textAlignment w:val="auto"/>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附件</w:t>
      </w:r>
      <w:r>
        <w:rPr>
          <w:rFonts w:hint="eastAsia" w:ascii="Times New Roman" w:hAnsi="Times New Roman" w:eastAsia="黑体" w:cs="Times New Roman"/>
          <w:b w:val="0"/>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方正小标宋简体" w:cs="Times New Roman"/>
          <w:b w:val="0"/>
          <w:bCs/>
          <w:sz w:val="44"/>
          <w:szCs w:val="44"/>
        </w:rPr>
      </w:pPr>
      <w:r>
        <w:rPr>
          <w:rFonts w:hint="eastAsia" w:ascii="Times New Roman" w:hAnsi="Times New Roman" w:eastAsia="方正小标宋简体" w:cs="Times New Roman"/>
          <w:b w:val="0"/>
          <w:bCs/>
          <w:sz w:val="44"/>
          <w:szCs w:val="44"/>
          <w:lang w:val="en-US" w:eastAsia="zh-CN"/>
        </w:rPr>
        <w:t>海南区</w:t>
      </w:r>
      <w:r>
        <w:rPr>
          <w:rFonts w:hint="default" w:ascii="Times New Roman" w:hAnsi="Times New Roman" w:eastAsia="方正小标宋简体" w:cs="Times New Roman"/>
          <w:b w:val="0"/>
          <w:bCs/>
          <w:sz w:val="44"/>
          <w:szCs w:val="44"/>
        </w:rPr>
        <w:t>一般违法行为</w:t>
      </w:r>
      <w:r>
        <w:rPr>
          <w:rFonts w:hint="eastAsia" w:ascii="Times New Roman" w:hAnsi="Times New Roman" w:eastAsia="方正小标宋简体" w:cs="Times New Roman"/>
          <w:b w:val="0"/>
          <w:bCs/>
          <w:sz w:val="44"/>
          <w:szCs w:val="44"/>
          <w:lang w:val="en-US" w:eastAsia="zh-CN"/>
        </w:rPr>
        <w:t>减轻</w:t>
      </w:r>
      <w:r>
        <w:rPr>
          <w:rFonts w:hint="default" w:ascii="Times New Roman" w:hAnsi="Times New Roman" w:eastAsia="方正小标宋简体" w:cs="Times New Roman"/>
          <w:b w:val="0"/>
          <w:bCs/>
          <w:sz w:val="44"/>
          <w:szCs w:val="44"/>
        </w:rPr>
        <w:t>行政处罚清单</w:t>
      </w:r>
    </w:p>
    <w:tbl>
      <w:tblPr>
        <w:tblStyle w:val="3"/>
        <w:tblpPr w:leftFromText="180" w:rightFromText="180" w:vertAnchor="text" w:horzAnchor="page" w:tblpX="652" w:tblpY="399"/>
        <w:tblOverlap w:val="never"/>
        <w:tblW w:w="15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4457"/>
        <w:gridCol w:w="2990"/>
        <w:gridCol w:w="5867"/>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29" w:type="dxa"/>
            <w:vAlign w:val="center"/>
          </w:tcPr>
          <w:p>
            <w:pPr>
              <w:jc w:val="center"/>
              <w:rPr>
                <w:rFonts w:hint="default" w:ascii="Times New Roman" w:hAnsi="Times New Roman" w:eastAsia="楷体_GB2312" w:cs="Times New Roman"/>
                <w:b/>
                <w:bCs/>
                <w:color w:val="000000" w:themeColor="text1"/>
                <w:sz w:val="40"/>
                <w:szCs w:val="28"/>
                <w:vertAlign w:val="baseline"/>
                <w:lang w:val="en-US" w:eastAsia="zh-CN"/>
                <w14:textFill>
                  <w14:solidFill>
                    <w14:schemeClr w14:val="tx1"/>
                  </w14:solidFill>
                </w14:textFill>
              </w:rPr>
            </w:pPr>
            <w:r>
              <w:rPr>
                <w:rFonts w:hint="default" w:ascii="Times New Roman" w:hAnsi="Times New Roman" w:eastAsia="楷体_GB2312" w:cs="Times New Roman"/>
                <w:b/>
                <w:bCs/>
                <w:color w:val="000000" w:themeColor="text1"/>
                <w:spacing w:val="0"/>
                <w:sz w:val="30"/>
                <w:szCs w:val="30"/>
                <w:vertAlign w:val="baseline"/>
                <w:lang w:val="en-US" w:eastAsia="zh-CN"/>
                <w14:textFill>
                  <w14:solidFill>
                    <w14:schemeClr w14:val="tx1"/>
                  </w14:solidFill>
                </w14:textFill>
              </w:rPr>
              <w:t>序号</w:t>
            </w:r>
          </w:p>
        </w:tc>
        <w:tc>
          <w:tcPr>
            <w:tcW w:w="4457" w:type="dxa"/>
            <w:vAlign w:val="center"/>
          </w:tcPr>
          <w:p>
            <w:pPr>
              <w:jc w:val="center"/>
              <w:rPr>
                <w:rFonts w:hint="default" w:ascii="Times New Roman" w:hAnsi="Times New Roman" w:eastAsia="楷体_GB2312" w:cs="Times New Roman"/>
                <w:b/>
                <w:bCs/>
                <w:color w:val="000000" w:themeColor="text1"/>
                <w:vertAlign w:val="baseline"/>
                <w14:textFill>
                  <w14:solidFill>
                    <w14:schemeClr w14:val="tx1"/>
                  </w14:solidFill>
                </w14:textFill>
              </w:rPr>
            </w:pPr>
            <w:r>
              <w:rPr>
                <w:rFonts w:hint="default" w:ascii="Times New Roman" w:hAnsi="Times New Roman" w:eastAsia="楷体_GB2312" w:cs="Times New Roman"/>
                <w:b/>
                <w:bCs/>
                <w:color w:val="000000" w:themeColor="text1"/>
                <w:spacing w:val="0"/>
                <w:sz w:val="30"/>
                <w:szCs w:val="30"/>
                <w:vertAlign w:val="baseline"/>
                <w:lang w:val="en-US" w:eastAsia="zh-CN"/>
                <w14:textFill>
                  <w14:solidFill>
                    <w14:schemeClr w14:val="tx1"/>
                  </w14:solidFill>
                </w14:textFill>
              </w:rPr>
              <w:t>违法行为</w:t>
            </w:r>
          </w:p>
        </w:tc>
        <w:tc>
          <w:tcPr>
            <w:tcW w:w="2990" w:type="dxa"/>
            <w:vAlign w:val="center"/>
          </w:tcPr>
          <w:p>
            <w:pPr>
              <w:jc w:val="center"/>
              <w:rPr>
                <w:rFonts w:hint="default" w:ascii="Times New Roman" w:hAnsi="Times New Roman" w:eastAsia="楷体_GB2312" w:cs="Times New Roman"/>
                <w:b/>
                <w:bCs/>
                <w:color w:val="000000" w:themeColor="text1"/>
                <w:vertAlign w:val="baseline"/>
                <w14:textFill>
                  <w14:solidFill>
                    <w14:schemeClr w14:val="tx1"/>
                  </w14:solidFill>
                </w14:textFill>
              </w:rPr>
            </w:pPr>
            <w:r>
              <w:rPr>
                <w:rFonts w:hint="default" w:ascii="Times New Roman" w:hAnsi="Times New Roman" w:eastAsia="楷体_GB2312" w:cs="Times New Roman"/>
                <w:b/>
                <w:bCs/>
                <w:color w:val="000000" w:themeColor="text1"/>
                <w:spacing w:val="0"/>
                <w:sz w:val="30"/>
                <w:szCs w:val="30"/>
                <w:vertAlign w:val="baseline"/>
                <w:lang w:val="en-US" w:eastAsia="zh-CN"/>
                <w14:textFill>
                  <w14:solidFill>
                    <w14:schemeClr w14:val="tx1"/>
                  </w14:solidFill>
                </w14:textFill>
              </w:rPr>
              <w:t>从轻行政处罚条件</w:t>
            </w:r>
          </w:p>
        </w:tc>
        <w:tc>
          <w:tcPr>
            <w:tcW w:w="5867" w:type="dxa"/>
            <w:vAlign w:val="center"/>
          </w:tcPr>
          <w:p>
            <w:pPr>
              <w:jc w:val="center"/>
              <w:rPr>
                <w:rFonts w:hint="default" w:ascii="Times New Roman" w:hAnsi="Times New Roman" w:eastAsia="楷体_GB2312" w:cs="Times New Roman"/>
                <w:b/>
                <w:bCs/>
                <w:color w:val="000000" w:themeColor="text1"/>
                <w:vertAlign w:val="baseline"/>
                <w14:textFill>
                  <w14:solidFill>
                    <w14:schemeClr w14:val="tx1"/>
                  </w14:solidFill>
                </w14:textFill>
              </w:rPr>
            </w:pPr>
            <w:r>
              <w:rPr>
                <w:rFonts w:hint="default" w:ascii="Times New Roman" w:hAnsi="Times New Roman" w:eastAsia="楷体_GB2312" w:cs="Times New Roman"/>
                <w:b/>
                <w:bCs/>
                <w:color w:val="000000" w:themeColor="text1"/>
                <w:spacing w:val="0"/>
                <w:sz w:val="30"/>
                <w:szCs w:val="30"/>
                <w:vertAlign w:val="baseline"/>
                <w:lang w:val="en-US" w:eastAsia="zh-CN"/>
                <w14:textFill>
                  <w14:solidFill>
                    <w14:schemeClr w14:val="tx1"/>
                  </w14:solidFill>
                </w14:textFill>
              </w:rPr>
              <w:t>法律依据</w:t>
            </w:r>
          </w:p>
        </w:tc>
        <w:tc>
          <w:tcPr>
            <w:tcW w:w="1477" w:type="dxa"/>
            <w:vAlign w:val="center"/>
          </w:tcPr>
          <w:p>
            <w:pPr>
              <w:jc w:val="center"/>
              <w:rPr>
                <w:rFonts w:hint="default" w:ascii="Times New Roman" w:hAnsi="Times New Roman" w:eastAsia="楷体_GB2312" w:cs="Times New Roman"/>
                <w:b/>
                <w:bCs/>
                <w:color w:val="000000" w:themeColor="text1"/>
                <w:vertAlign w:val="baseline"/>
                <w14:textFill>
                  <w14:solidFill>
                    <w14:schemeClr w14:val="tx1"/>
                  </w14:solidFill>
                </w14:textFill>
              </w:rPr>
            </w:pPr>
            <w:r>
              <w:rPr>
                <w:rFonts w:hint="default" w:ascii="Times New Roman" w:hAnsi="Times New Roman" w:eastAsia="楷体_GB2312" w:cs="Times New Roman"/>
                <w:b/>
                <w:bCs/>
                <w:color w:val="000000" w:themeColor="text1"/>
                <w:spacing w:val="0"/>
                <w:sz w:val="30"/>
                <w:szCs w:val="30"/>
                <w:vertAlign w:val="baseline"/>
                <w:lang w:val="en-US" w:eastAsia="zh-CN"/>
                <w14:textFill>
                  <w14:solidFill>
                    <w14:schemeClr w14:val="tx1"/>
                  </w14:solidFill>
                </w14:textFill>
              </w:rPr>
              <w:t>实施主体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w:t>
            </w:r>
          </w:p>
        </w:tc>
        <w:tc>
          <w:tcPr>
            <w:tcW w:w="44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广告监管领域：</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违反《广告法》第九条，使用“国家级”、“最高级”</w:t>
            </w:r>
            <w:bookmarkStart w:id="0" w:name="_GoBack"/>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、“最佳”等用语</w:t>
            </w:r>
            <w:bookmarkEnd w:id="0"/>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2.</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广告经营者、广告发布者未公布其收费标准和收费办法的</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3.</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通过大众传播媒介发布的广告未显著标明“广告”</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4.广告经营者、广告发布者未按照国家有关规定建立、健全广告业务管理制度</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有下列情形之一的；或同时具有下列2种以上情形的：</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1.积极配合市场监督管理部门调查，如实陈述违法事实并主动提供证据材料的；2.违法行为轻微的；3.主动停止违法行为的；4.及时改正的；5.当事人因残疾或者重大疾病等原因生活确有困难的；</w:t>
            </w:r>
          </w:p>
        </w:tc>
        <w:tc>
          <w:tcPr>
            <w:tcW w:w="58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行政处罚法32条：</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4" w:hRule="atLeast"/>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2</w:t>
            </w:r>
          </w:p>
        </w:tc>
        <w:tc>
          <w:tcPr>
            <w:tcW w:w="44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食品监管领域：</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未按规定建立食品安全管理制度，或者未按规定配备或者培训、考核食品安全管理人</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2.</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安排未取得健康证明的人员从事接触直接入口食品的工作</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3.</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特殊食品生产企业违反《中华人民共和国食品安全法》第八十三条规定，未定期提交自查报告</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有下列情形之一的；或同时具有下列2种以上情形的：</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1.积极配合市场监督管理部门调查，如实陈述违法事实并主动提供证据材料的；2.违法行为轻微的；3.主动停止违法行为的；4.及时改正的；5.当事人因残疾或者重大疾病等原因生活确有困难的</w:t>
            </w:r>
          </w:p>
        </w:tc>
        <w:tc>
          <w:tcPr>
            <w:tcW w:w="58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行政处罚法32条：</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3</w:t>
            </w:r>
          </w:p>
        </w:tc>
        <w:tc>
          <w:tcPr>
            <w:tcW w:w="44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药品监管领域：</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药品经营企业采购药品时，未索取、查验、留存规定的有关材料、凭证。</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2.药品经营单位违反</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处方药与非处方药分类管理制度；药品零售企业以买药品赠药品或者买商品赠药品等方式向公众赠送处方药、甲类非处方药。</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3.</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医疗机构未建立健全药品质量管理体系。</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4.</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医疗机构购进药品，未核实供货单位的药品生产许可证或者药品经营许可证、授权委托书以及药品批准证明文件、药品合格证明等有效证明文件。</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5.</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医疗机构未建立和执行药品购进验收制度。</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有下列情形之一的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；或同时具有下列2种以上情形的</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积极配合市场监督管理部门调查，如实陈述违法事实并主动提供证据材料的；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2.</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违法行为轻微的；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3.</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主动停止违法行为的；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4.</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及时改正的；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5.</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当事人因残疾或者重大疾病等原因生活确有困难的</w:t>
            </w:r>
          </w:p>
        </w:tc>
        <w:tc>
          <w:tcPr>
            <w:tcW w:w="58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行政处罚法32条：</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5" w:hRule="atLeast"/>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4</w:t>
            </w:r>
          </w:p>
        </w:tc>
        <w:tc>
          <w:tcPr>
            <w:tcW w:w="44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医疗器械领域：</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违反《医疗器械监督管理条例》第四十一条，经营二类医疗器械未按要求备案</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2.</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违反《医疗器械监督管理条例》第四十五条第一款，医疗器械经营企业、使用单位购销医疗器械，没有及时登记查验或记录，记录有一般性的失误，个别项目记录不全</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3.</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违反《医疗器械网络销售监督管理办法》第八条，从事医疗器械网络销售的企业，未按规定办理相关信息备案，或者相关信息发生变化，未及时变更备案</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有下列情形之一的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；或同时具有下列2种以上情形的</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积极配合市场监督管理部门调查，如实陈述违法事实并主动提供证据材料的；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2.</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违法行为轻微的；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3.</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主动停止违法行为的；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4.</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及时改正的；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5.</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当事人因残疾或者重大疾病等原因生活确有困难的</w:t>
            </w:r>
          </w:p>
        </w:tc>
        <w:tc>
          <w:tcPr>
            <w:tcW w:w="58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行政处罚法32条：</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5</w:t>
            </w:r>
          </w:p>
        </w:tc>
        <w:tc>
          <w:tcPr>
            <w:tcW w:w="44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化妆品监管领域：</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化妆品经营者未建立并执行进货查验记录制度。</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2.</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化妆品生产经营者未依照有关法律、法规的规定和化妆品标签标示的要求贮存、运输化妆品，未定期检查并及时处理变质或者超过使用期限的化妆品。</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有下列情形之一的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；或同时具有下列2种以上情形的</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积极配合市场监督管理部门调查，如实陈述违法事实并主动提供证据材料的；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2.</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违法行为轻微的；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3.</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主动停止违法行为的；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4.</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及时改正的；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5.</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当事人因残疾或者重大疾病等原因生活确有困难的</w:t>
            </w:r>
          </w:p>
        </w:tc>
        <w:tc>
          <w:tcPr>
            <w:tcW w:w="58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行政处罚法32条：</w:t>
            </w: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当事人有下列情形之一，应当从轻或者减轻行政处罚：（一）主动消除或者减轻违法行为危害后果的；（二）受他人胁迫或者诱骗实施违法行为的；（三）主动供述行政机关尚未掌握的违法行为的；（四）配合行政机关查处违法行为有立功表现的；（五）法律、法规、规章规定其他应当从轻或者减轻行政处罚的。</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4" w:hRule="atLeast"/>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6</w:t>
            </w:r>
          </w:p>
        </w:tc>
        <w:tc>
          <w:tcPr>
            <w:tcW w:w="44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违反劳动法规定，拖欠农民工工资等情况</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一）主动消除或者减轻违法行为危害后果的：（二）受他人胁迫有违法行为的；（三）配合行政机关查处违法行为有立功表现的；（四）依法应当从轻或者减轻处罚的其他情形。当事人的违法行为没有减轻、从轻情节的，应当对其予以一般处罚。但法律、法规、规章有规定必须先责令改正的，应当先责令改正，逾期不改的再进行一般处罚。</w:t>
            </w:r>
          </w:p>
        </w:tc>
        <w:tc>
          <w:tcPr>
            <w:tcW w:w="58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t>《内蒙古自治区人力资源和社会保障行政处罚裁量权基准规则》第九条</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829"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7</w:t>
            </w:r>
          </w:p>
        </w:tc>
        <w:tc>
          <w:tcPr>
            <w:tcW w:w="44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生产经营单位未按照规定开展应急预案评估</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生产经营单位在应急管理部门发现违法行为时，能主动予以纠正即按照规定开展应急预案评估，消除危害后果的</w:t>
            </w:r>
          </w:p>
        </w:tc>
        <w:tc>
          <w:tcPr>
            <w:tcW w:w="58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处罚事项依据：《生产安全事故应急预案管理办法》第四十五条第四项生产经 营单位有下列情形之一的，由县级以上人民政府应急管理部门责令限期改正，可以处1万元以上3万元以下罚款：</w:t>
            </w:r>
            <w:r>
              <w:rPr>
                <w:rFonts w:hint="default" w:ascii="Times New Roman" w:hAnsi="Times New Roman" w:cs="Times New Roman"/>
                <w:color w:val="000000" w:themeColor="text1"/>
                <w:position w:val="4"/>
                <w:sz w:val="22"/>
                <w:szCs w:val="22"/>
                <w:lang w:val="en-US" w:eastAsia="zh-CN"/>
                <w14:textFill>
                  <w14:solidFill>
                    <w14:schemeClr w14:val="tx1"/>
                  </w14:solidFill>
                </w14:textFill>
              </w:rPr>
              <w:t>（</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四</w:t>
            </w:r>
            <w:r>
              <w:rPr>
                <w:rFonts w:hint="default" w:ascii="Times New Roman" w:hAnsi="Times New Roman" w:cs="Times New Roman"/>
                <w:color w:val="000000" w:themeColor="text1"/>
                <w:position w:val="4"/>
                <w:sz w:val="22"/>
                <w:szCs w:val="22"/>
                <w:lang w:val="en-US" w:eastAsia="zh-CN"/>
                <w14:textFill>
                  <w14:solidFill>
                    <w14:schemeClr w14:val="tx1"/>
                  </w14:solidFill>
                </w14:textFill>
              </w:rPr>
              <w:t>）</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未按照规定开展应急预案评估的。</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减轻行政处罚事项依据：《中华人民共和国行政处罚法》第三十二条第一项当事人有下列情形之一，应当从轻或者减轻行政处罚：</w:t>
            </w:r>
            <w:r>
              <w:rPr>
                <w:rFonts w:hint="default" w:ascii="Times New Roman" w:hAnsi="Times New Roman" w:cs="Times New Roman"/>
                <w:color w:val="000000" w:themeColor="text1"/>
                <w:position w:val="4"/>
                <w:sz w:val="22"/>
                <w:szCs w:val="22"/>
                <w:lang w:val="en-US" w:eastAsia="zh-CN"/>
                <w14:textFill>
                  <w14:solidFill>
                    <w14:schemeClr w14:val="tx1"/>
                  </w14:solidFill>
                </w14:textFill>
              </w:rPr>
              <w:t>（</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一</w:t>
            </w:r>
            <w:r>
              <w:rPr>
                <w:rFonts w:hint="default" w:ascii="Times New Roman" w:hAnsi="Times New Roman" w:cs="Times New Roman"/>
                <w:color w:val="000000" w:themeColor="text1"/>
                <w:position w:val="4"/>
                <w:sz w:val="22"/>
                <w:szCs w:val="22"/>
                <w:lang w:val="en-US" w:eastAsia="zh-CN"/>
                <w14:textFill>
                  <w14:solidFill>
                    <w14:schemeClr w14:val="tx1"/>
                  </w14:solidFill>
                </w14:textFill>
              </w:rPr>
              <w:t>）</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主动消除或者减轻违法行为危害后果的</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8</w:t>
            </w:r>
          </w:p>
        </w:tc>
        <w:tc>
          <w:tcPr>
            <w:tcW w:w="44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安全培训</w:t>
            </w:r>
            <w:r>
              <w:rPr>
                <w:rFonts w:hint="default" w:ascii="Times New Roman" w:hAnsi="Times New Roman" w:cs="Times New Roman"/>
                <w:color w:val="000000" w:themeColor="text1"/>
                <w:position w:val="4"/>
                <w:sz w:val="22"/>
                <w:szCs w:val="22"/>
                <w:lang w:val="en-US" w:eastAsia="zh-CN"/>
                <w14:textFill>
                  <w14:solidFill>
                    <w14:schemeClr w14:val="tx1"/>
                  </w14:solidFill>
                </w14:textFill>
              </w:rPr>
              <w:t>机构</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未建立培训档案或者培训档案管理不规范</w:t>
            </w:r>
          </w:p>
        </w:tc>
        <w:tc>
          <w:tcPr>
            <w:tcW w:w="2990"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安全培训机构在应急管理部门发现违法行为时，能主动予以纠正即按照规定建立培训档案或者规范培训档案管理，消除危害后果的</w:t>
            </w:r>
          </w:p>
        </w:tc>
        <w:tc>
          <w:tcPr>
            <w:tcW w:w="586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处罚事项依据：《安全生产培训管理办法》第三十四条第一款第三项安全培训机构有下列情形之一的，责令限期改正，处1万元以下的罚款；逾期未改正的，给予警告，处1万元以上3万元以下的罚款：</w:t>
            </w:r>
            <w:r>
              <w:rPr>
                <w:rFonts w:hint="default" w:ascii="Times New Roman" w:hAnsi="Times New Roman" w:cs="Times New Roman"/>
                <w:color w:val="000000" w:themeColor="text1"/>
                <w:position w:val="4"/>
                <w:sz w:val="22"/>
                <w:szCs w:val="22"/>
                <w:lang w:val="en-US" w:eastAsia="zh-CN"/>
                <w14:textFill>
                  <w14:solidFill>
                    <w14:schemeClr w14:val="tx1"/>
                  </w14:solidFill>
                </w14:textFill>
              </w:rPr>
              <w:t>（</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三</w:t>
            </w:r>
            <w:r>
              <w:rPr>
                <w:rFonts w:hint="default" w:ascii="Times New Roman" w:hAnsi="Times New Roman" w:cs="Times New Roman"/>
                <w:color w:val="000000" w:themeColor="text1"/>
                <w:position w:val="4"/>
                <w:sz w:val="22"/>
                <w:szCs w:val="22"/>
                <w:lang w:val="en-US" w:eastAsia="zh-CN"/>
                <w14:textFill>
                  <w14:solidFill>
                    <w14:schemeClr w14:val="tx1"/>
                  </w14:solidFill>
                </w14:textFill>
              </w:rPr>
              <w:t>）</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未建立培训档案或者 培训档案管理不规范。减轻行政处罚事项依据：《中华人民共和国行政处罚法》第三十二条第一项当事人有下列情形之一，应当从轻或者减轻行政处罚</w:t>
            </w:r>
            <w:r>
              <w:rPr>
                <w:rFonts w:hint="default" w:ascii="Times New Roman" w:hAnsi="Times New Roman" w:cs="Times New Roman"/>
                <w:color w:val="000000" w:themeColor="text1"/>
                <w:position w:val="4"/>
                <w:sz w:val="22"/>
                <w:szCs w:val="22"/>
                <w:lang w:val="en-US" w:eastAsia="zh-CN"/>
                <w14:textFill>
                  <w14:solidFill>
                    <w14:schemeClr w14:val="tx1"/>
                  </w14:solidFill>
                </w14:textFill>
              </w:rPr>
              <w:t>（</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一</w:t>
            </w:r>
            <w:r>
              <w:rPr>
                <w:rFonts w:hint="default" w:ascii="Times New Roman" w:hAnsi="Times New Roman" w:cs="Times New Roman"/>
                <w:color w:val="000000" w:themeColor="text1"/>
                <w:position w:val="4"/>
                <w:sz w:val="22"/>
                <w:szCs w:val="22"/>
                <w:lang w:val="en-US" w:eastAsia="zh-CN"/>
                <w14:textFill>
                  <w14:solidFill>
                    <w14:schemeClr w14:val="tx1"/>
                  </w14:solidFill>
                </w14:textFill>
              </w:rPr>
              <w:t>）</w:t>
            </w: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主动消除或者减轻违法行为危害后果的</w:t>
            </w:r>
          </w:p>
        </w:tc>
        <w:tc>
          <w:tcPr>
            <w:tcW w:w="147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区应急管理局</w:t>
            </w:r>
          </w:p>
        </w:tc>
      </w:tr>
    </w:tbl>
    <w:p/>
    <w:sectPr>
      <w:pgSz w:w="16838" w:h="11906" w:orient="landscape"/>
      <w:pgMar w:top="1531" w:right="2098" w:bottom="1531" w:left="187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jMzU4ZDhhODNlYjQ1ZmJmMWM1YTVjNjkyNGI4ZDcifQ=="/>
  </w:docVars>
  <w:rsids>
    <w:rsidRoot w:val="00000000"/>
    <w:rsid w:val="350A360A"/>
    <w:rsid w:val="633B4739"/>
    <w:rsid w:val="641D1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Calibri" w:hAnsi="Calibri" w:eastAsia="仿宋_GB2312" w:cs="Times New Roman"/>
      <w:kern w:val="2"/>
      <w:sz w:val="32"/>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2023-11-21T06:28:00Z</dcterms:created>
  <dc:creator>lenovo</dc:creator>
  <cp:lastModifiedBy>陈扬</cp:lastModifiedBy>
  <dcterms:modified xsi:type="dcterms:W3CDTF">2023-11-21T06:56:04Z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CDB4C110AAF742AB95F10F32FC2C9820_12</vt:lpwstr>
  </property>
</Properties>
</file>